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1EB" w:rsidRDefault="00C661EB">
      <w:r>
        <w:fldChar w:fldCharType="begin"/>
      </w:r>
      <w:r>
        <w:instrText xml:space="preserve"> HYPERLINK "</w:instrText>
      </w:r>
      <w:r w:rsidRPr="00C661EB">
        <w:instrText>http://sief.te.gob.mx/iuse/tesisjur.aspx?idtesis=11/2018&amp;tpoBusqueda=S&amp;sWord</w:instrText>
      </w:r>
      <w:r>
        <w:instrText xml:space="preserve">" </w:instrText>
      </w:r>
      <w:r>
        <w:fldChar w:fldCharType="separate"/>
      </w:r>
      <w:r w:rsidRPr="0008591E">
        <w:rPr>
          <w:rStyle w:val="Hipervnculo"/>
        </w:rPr>
        <w:t>http://sief.te.gob.mx/iuse/tesisjur.aspx?idtesis=11/2018&amp;tpoBusqueda=S&amp;sWord</w:t>
      </w:r>
      <w:r>
        <w:fldChar w:fldCharType="end"/>
      </w:r>
      <w:r w:rsidRPr="00C661EB">
        <w:t>=</w:t>
      </w:r>
      <w:r>
        <w:t xml:space="preserve"> </w:t>
      </w:r>
    </w:p>
    <w:p w:rsidR="003703AE" w:rsidRDefault="003703AE">
      <w:hyperlink r:id="rId4" w:history="1">
        <w:r w:rsidRPr="0008591E">
          <w:rPr>
            <w:rStyle w:val="Hipervnculo"/>
          </w:rPr>
          <w:t>http://portal.te.gob.mx/colecciones/sentencias/html/SUP/2018/JRC/SUP-JRC-00004-2018-Resumen.htm</w:t>
        </w:r>
      </w:hyperlink>
      <w:r>
        <w:t xml:space="preserve"> </w:t>
      </w:r>
      <w:bookmarkStart w:id="0" w:name="_GoBack"/>
      <w:bookmarkEnd w:id="0"/>
    </w:p>
    <w:tbl>
      <w:tblPr>
        <w:tblW w:w="15360" w:type="dxa"/>
        <w:tblCellSpacing w:w="15" w:type="dxa"/>
        <w:tblCellMar>
          <w:top w:w="15" w:type="dxa"/>
          <w:left w:w="15" w:type="dxa"/>
          <w:bottom w:w="15" w:type="dxa"/>
          <w:right w:w="15" w:type="dxa"/>
        </w:tblCellMar>
        <w:tblLook w:val="04A0" w:firstRow="1" w:lastRow="0" w:firstColumn="1" w:lastColumn="0" w:noHBand="0" w:noVBand="1"/>
      </w:tblPr>
      <w:tblGrid>
        <w:gridCol w:w="15360"/>
      </w:tblGrid>
      <w:tr w:rsidR="006C6364" w:rsidRPr="006C6364" w:rsidTr="00C661EB">
        <w:trPr>
          <w:tblCellSpacing w:w="15" w:type="dxa"/>
        </w:trPr>
        <w:tc>
          <w:tcPr>
            <w:tcW w:w="15300" w:type="dxa"/>
            <w:vAlign w:val="center"/>
            <w:hideMark/>
          </w:tcPr>
          <w:p w:rsidR="006C6364" w:rsidRPr="006C6364" w:rsidRDefault="006C6364" w:rsidP="006C6364">
            <w:pPr>
              <w:spacing w:before="150" w:after="150" w:line="240" w:lineRule="auto"/>
              <w:rPr>
                <w:rFonts w:ascii="Times New Roman" w:eastAsia="Times New Roman" w:hAnsi="Times New Roman" w:cs="Times New Roman"/>
                <w:sz w:val="24"/>
                <w:szCs w:val="24"/>
                <w:lang w:eastAsia="es-MX"/>
              </w:rPr>
            </w:pPr>
            <w:proofErr w:type="spellStart"/>
            <w:r w:rsidRPr="006C6364">
              <w:rPr>
                <w:rFonts w:ascii="Times New Roman" w:eastAsia="Times New Roman" w:hAnsi="Times New Roman" w:cs="Times New Roman"/>
                <w:b/>
                <w:bCs/>
                <w:sz w:val="24"/>
                <w:szCs w:val="24"/>
                <w:lang w:eastAsia="es-MX"/>
              </w:rPr>
              <w:t>Uziel</w:t>
            </w:r>
            <w:proofErr w:type="spellEnd"/>
            <w:r w:rsidRPr="006C6364">
              <w:rPr>
                <w:rFonts w:ascii="Times New Roman" w:eastAsia="Times New Roman" w:hAnsi="Times New Roman" w:cs="Times New Roman"/>
                <w:b/>
                <w:bCs/>
                <w:sz w:val="24"/>
                <w:szCs w:val="24"/>
                <w:lang w:eastAsia="es-MX"/>
              </w:rPr>
              <w:t xml:space="preserve"> Isaí Dávila Pérez</w:t>
            </w:r>
            <w:r w:rsidRPr="006C6364">
              <w:rPr>
                <w:rFonts w:ascii="Times New Roman" w:eastAsia="Times New Roman" w:hAnsi="Times New Roman" w:cs="Times New Roman"/>
                <w:sz w:val="24"/>
                <w:szCs w:val="24"/>
                <w:lang w:eastAsia="es-MX"/>
              </w:rPr>
              <w:br/>
            </w:r>
            <w:r w:rsidRPr="006C6364">
              <w:rPr>
                <w:rFonts w:ascii="Times New Roman" w:eastAsia="Times New Roman" w:hAnsi="Times New Roman" w:cs="Times New Roman"/>
                <w:sz w:val="24"/>
                <w:szCs w:val="24"/>
                <w:lang w:eastAsia="es-MX"/>
              </w:rPr>
              <w:br/>
            </w:r>
            <w:r w:rsidRPr="006C6364">
              <w:rPr>
                <w:rFonts w:ascii="Times New Roman" w:eastAsia="Times New Roman" w:hAnsi="Times New Roman" w:cs="Times New Roman"/>
                <w:b/>
                <w:bCs/>
                <w:sz w:val="24"/>
                <w:szCs w:val="24"/>
                <w:lang w:eastAsia="es-MX"/>
              </w:rPr>
              <w:t>vs.</w:t>
            </w:r>
            <w:r w:rsidRPr="006C6364">
              <w:rPr>
                <w:rFonts w:ascii="Times New Roman" w:eastAsia="Times New Roman" w:hAnsi="Times New Roman" w:cs="Times New Roman"/>
                <w:sz w:val="24"/>
                <w:szCs w:val="24"/>
                <w:lang w:eastAsia="es-MX"/>
              </w:rPr>
              <w:br/>
            </w:r>
            <w:r w:rsidRPr="006C6364">
              <w:rPr>
                <w:rFonts w:ascii="Times New Roman" w:eastAsia="Times New Roman" w:hAnsi="Times New Roman" w:cs="Times New Roman"/>
                <w:sz w:val="24"/>
                <w:szCs w:val="24"/>
                <w:lang w:eastAsia="es-MX"/>
              </w:rPr>
              <w:br/>
            </w:r>
            <w:r w:rsidRPr="006C6364">
              <w:rPr>
                <w:rFonts w:ascii="Times New Roman" w:eastAsia="Times New Roman" w:hAnsi="Times New Roman" w:cs="Times New Roman"/>
                <w:b/>
                <w:bCs/>
                <w:sz w:val="24"/>
                <w:szCs w:val="24"/>
                <w:lang w:eastAsia="es-MX"/>
              </w:rPr>
              <w:t>Sala Regional del Tribunal Electoral del Poder Judicial de la Federación, correspondiente a la Segunda Circunscripción Plurinominal, con sede en Monterrey, Nuevo León</w:t>
            </w:r>
            <w:r w:rsidRPr="006C6364">
              <w:rPr>
                <w:rFonts w:ascii="Times New Roman" w:eastAsia="Times New Roman" w:hAnsi="Times New Roman" w:cs="Times New Roman"/>
                <w:sz w:val="24"/>
                <w:szCs w:val="24"/>
                <w:lang w:eastAsia="es-MX"/>
              </w:rPr>
              <w:br/>
            </w:r>
            <w:r w:rsidRPr="006C6364">
              <w:rPr>
                <w:rFonts w:ascii="Times New Roman" w:eastAsia="Times New Roman" w:hAnsi="Times New Roman" w:cs="Times New Roman"/>
                <w:sz w:val="24"/>
                <w:szCs w:val="24"/>
                <w:lang w:eastAsia="es-MX"/>
              </w:rPr>
              <w:br/>
            </w:r>
            <w:r w:rsidRPr="006C6364">
              <w:rPr>
                <w:rFonts w:ascii="Times New Roman" w:eastAsia="Times New Roman" w:hAnsi="Times New Roman" w:cs="Times New Roman"/>
                <w:b/>
                <w:bCs/>
                <w:sz w:val="24"/>
                <w:szCs w:val="24"/>
                <w:lang w:eastAsia="es-MX"/>
              </w:rPr>
              <w:t>Jurisprudencia 11/2018</w:t>
            </w:r>
            <w:r w:rsidRPr="006C6364">
              <w:rPr>
                <w:rFonts w:ascii="Times New Roman" w:eastAsia="Times New Roman" w:hAnsi="Times New Roman" w:cs="Times New Roman"/>
                <w:sz w:val="24"/>
                <w:szCs w:val="24"/>
                <w:lang w:eastAsia="es-MX"/>
              </w:rPr>
              <w:br/>
            </w:r>
          </w:p>
        </w:tc>
      </w:tr>
    </w:tbl>
    <w:p w:rsidR="006C6364" w:rsidRPr="006C6364" w:rsidRDefault="006C6364" w:rsidP="006C6364">
      <w:pPr>
        <w:shd w:val="clear" w:color="auto" w:fill="FFFFFF"/>
        <w:spacing w:after="0" w:line="240" w:lineRule="auto"/>
        <w:jc w:val="both"/>
        <w:rPr>
          <w:rFonts w:ascii="Arial" w:eastAsia="Times New Roman" w:hAnsi="Arial" w:cs="Arial"/>
          <w:color w:val="000000"/>
          <w:sz w:val="24"/>
          <w:szCs w:val="24"/>
          <w:lang w:eastAsia="es-MX"/>
        </w:rPr>
      </w:pPr>
      <w:r w:rsidRPr="006C6364">
        <w:rPr>
          <w:rFonts w:ascii="Arial" w:eastAsia="Times New Roman" w:hAnsi="Arial" w:cs="Arial"/>
          <w:b/>
          <w:bCs/>
          <w:color w:val="000000"/>
          <w:sz w:val="24"/>
          <w:szCs w:val="24"/>
          <w:lang w:eastAsia="es-MX"/>
        </w:rPr>
        <w:t>PARIDAD DE GÉNERO. LA INTERPRETACIÓN Y APLICACIÓN DE LAS ACCIONES AFIRMATIVAS DEBE PROCURAR EL MAYOR BENEFICIO PARA LAS MUJERES.- </w:t>
      </w:r>
      <w:r w:rsidRPr="006C6364">
        <w:rPr>
          <w:rFonts w:ascii="Arial" w:eastAsia="Times New Roman" w:hAnsi="Arial" w:cs="Arial"/>
          <w:color w:val="000000"/>
          <w:sz w:val="24"/>
          <w:szCs w:val="24"/>
          <w:lang w:eastAsia="es-MX"/>
        </w:rPr>
        <w:t>De la interpretación sistemática y funcional de los </w:t>
      </w:r>
      <w:hyperlink r:id="rId5" w:history="1">
        <w:r w:rsidRPr="006C6364">
          <w:rPr>
            <w:rFonts w:ascii="Arial" w:eastAsia="Times New Roman" w:hAnsi="Arial" w:cs="Arial"/>
            <w:color w:val="006633"/>
            <w:sz w:val="24"/>
            <w:szCs w:val="24"/>
            <w:u w:val="single"/>
            <w:lang w:eastAsia="es-MX"/>
          </w:rPr>
          <w:t>artículos 1°, párrafo quinto, 4° y 41, Base I, párrafo segundo de la Constitución Política de los Estados Unidos Mexicanos</w:t>
        </w:r>
      </w:hyperlink>
      <w:r w:rsidRPr="006C6364">
        <w:rPr>
          <w:rFonts w:ascii="Arial" w:eastAsia="Times New Roman" w:hAnsi="Arial" w:cs="Arial"/>
          <w:color w:val="000000"/>
          <w:sz w:val="24"/>
          <w:szCs w:val="24"/>
          <w:lang w:eastAsia="es-MX"/>
        </w:rPr>
        <w:t>; </w:t>
      </w:r>
      <w:hyperlink r:id="rId6" w:history="1">
        <w:r w:rsidRPr="006C6364">
          <w:rPr>
            <w:rFonts w:ascii="Arial" w:eastAsia="Times New Roman" w:hAnsi="Arial" w:cs="Arial"/>
            <w:color w:val="006633"/>
            <w:sz w:val="24"/>
            <w:szCs w:val="24"/>
            <w:u w:val="single"/>
            <w:lang w:eastAsia="es-MX"/>
          </w:rPr>
          <w:t>1, numeral 1 de la Convención Americana sobre Derechos Humanos</w:t>
        </w:r>
      </w:hyperlink>
      <w:r w:rsidRPr="006C6364">
        <w:rPr>
          <w:rFonts w:ascii="Arial" w:eastAsia="Times New Roman" w:hAnsi="Arial" w:cs="Arial"/>
          <w:color w:val="000000"/>
          <w:sz w:val="24"/>
          <w:szCs w:val="24"/>
          <w:lang w:eastAsia="es-MX"/>
        </w:rPr>
        <w:t>; </w:t>
      </w:r>
      <w:hyperlink r:id="rId7" w:history="1">
        <w:r w:rsidRPr="006C6364">
          <w:rPr>
            <w:rFonts w:ascii="Arial" w:eastAsia="Times New Roman" w:hAnsi="Arial" w:cs="Arial"/>
            <w:color w:val="006633"/>
            <w:sz w:val="24"/>
            <w:szCs w:val="24"/>
            <w:u w:val="single"/>
            <w:lang w:eastAsia="es-MX"/>
          </w:rPr>
          <w:t>2, numeral 1 del Pacto Internacional de Derechos Civiles y Políticos</w:t>
        </w:r>
      </w:hyperlink>
      <w:r w:rsidRPr="006C6364">
        <w:rPr>
          <w:rFonts w:ascii="Arial" w:eastAsia="Times New Roman" w:hAnsi="Arial" w:cs="Arial"/>
          <w:color w:val="000000"/>
          <w:sz w:val="24"/>
          <w:szCs w:val="24"/>
          <w:lang w:eastAsia="es-MX"/>
        </w:rPr>
        <w:t>; </w:t>
      </w:r>
      <w:hyperlink r:id="rId8" w:history="1">
        <w:r w:rsidRPr="006C6364">
          <w:rPr>
            <w:rFonts w:ascii="Arial" w:eastAsia="Times New Roman" w:hAnsi="Arial" w:cs="Arial"/>
            <w:color w:val="006633"/>
            <w:sz w:val="24"/>
            <w:szCs w:val="24"/>
            <w:u w:val="single"/>
            <w:lang w:eastAsia="es-MX"/>
          </w:rPr>
          <w:t>4, inciso j), 6, inciso a), 7, inciso c), y 8 de la Convención Interamericana para Prevenir, Sancionar y Erradicar la Violencia contra la Mujer</w:t>
        </w:r>
      </w:hyperlink>
      <w:r w:rsidRPr="006C6364">
        <w:rPr>
          <w:rFonts w:ascii="Arial" w:eastAsia="Times New Roman" w:hAnsi="Arial" w:cs="Arial"/>
          <w:color w:val="000000"/>
          <w:sz w:val="24"/>
          <w:szCs w:val="24"/>
          <w:lang w:eastAsia="es-MX"/>
        </w:rPr>
        <w:t>; </w:t>
      </w:r>
      <w:hyperlink r:id="rId9" w:history="1">
        <w:r w:rsidRPr="006C6364">
          <w:rPr>
            <w:rFonts w:ascii="Arial" w:eastAsia="Times New Roman" w:hAnsi="Arial" w:cs="Arial"/>
            <w:color w:val="006633"/>
            <w:sz w:val="24"/>
            <w:szCs w:val="24"/>
            <w:u w:val="single"/>
            <w:lang w:eastAsia="es-MX"/>
          </w:rPr>
          <w:t>1, 2, 4, numeral 1, y 7, incisos a) y b) de la Convención sobre la Eliminación de Todas las Formas de Discriminación contra la Mujer</w:t>
        </w:r>
      </w:hyperlink>
      <w:r w:rsidRPr="006C6364">
        <w:rPr>
          <w:rFonts w:ascii="Arial" w:eastAsia="Times New Roman" w:hAnsi="Arial" w:cs="Arial"/>
          <w:color w:val="000000"/>
          <w:sz w:val="24"/>
          <w:szCs w:val="24"/>
          <w:lang w:eastAsia="es-MX"/>
        </w:rPr>
        <w:t>; </w:t>
      </w:r>
      <w:hyperlink r:id="rId10" w:history="1">
        <w:r w:rsidRPr="006C6364">
          <w:rPr>
            <w:rFonts w:ascii="Arial" w:eastAsia="Times New Roman" w:hAnsi="Arial" w:cs="Arial"/>
            <w:color w:val="006633"/>
            <w:sz w:val="24"/>
            <w:szCs w:val="24"/>
            <w:u w:val="single"/>
            <w:lang w:eastAsia="es-MX"/>
          </w:rPr>
          <w:t>II y III de la Convención sobre los Derechos Políticos de la Mujer</w:t>
        </w:r>
      </w:hyperlink>
      <w:r w:rsidRPr="006C6364">
        <w:rPr>
          <w:rFonts w:ascii="Arial" w:eastAsia="Times New Roman" w:hAnsi="Arial" w:cs="Arial"/>
          <w:color w:val="000000"/>
          <w:sz w:val="24"/>
          <w:szCs w:val="24"/>
          <w:lang w:eastAsia="es-MX"/>
        </w:rPr>
        <w:t>, se advierte que la paridad y las acciones afirmativas de género tienen entre sus principales finalidades: 1) garantizar el principio de igualdad entre hombres y mujeres, 2) promover y acelerar la participación política de las mujeres en cargos de elección popular, y 3) eliminar cualquier forma de discriminación y exclusión histórica o estructural. En consecuencia, aunque en la formulación de las disposiciones normativas que incorporan un mandato de postulación paritaria, cuotas de género o cualquier otra medida afirmativa de carácter temporal por razón de género, no se incorporen explícitamente criterios interpretativos específicos, al ser medidas preferenciales a favor de las mujeres, deben interpretarse y aplicarse procurando su mayor beneficio. Lo anterior exige adoptar una perspectiva de la paridad de género como mandato de optimización flexible que admite una participación mayor de mujeres que aquella que la entiende estrictamente en términos cuantitativos, como cincuenta por ciento de hombres y cincuenta por ciento de mujeres. Una interpretación de tales disposiciones en términos estrictos o neutrales podría restringir el principio del efecto útil en la interpretación de dichas normas y a la finalidad de las acciones afirmativas, pues las mujeres se podrían ver limitadas para ser postuladas o acceder a un número de cargos que excedan la paridad en términos cuantitativos, cuando existen condiciones y argumentos que justifican un mayor beneficio para las mujeres en un caso concreto.</w:t>
      </w:r>
    </w:p>
    <w:p w:rsidR="006C6364" w:rsidRPr="006C6364" w:rsidRDefault="006C6364" w:rsidP="006C6364">
      <w:pPr>
        <w:shd w:val="clear" w:color="auto" w:fill="FFFFFF"/>
        <w:spacing w:after="0" w:line="240" w:lineRule="auto"/>
        <w:jc w:val="both"/>
        <w:rPr>
          <w:rFonts w:ascii="Arial" w:eastAsia="Times New Roman" w:hAnsi="Arial" w:cs="Arial"/>
          <w:color w:val="000000"/>
          <w:sz w:val="24"/>
          <w:szCs w:val="24"/>
          <w:lang w:eastAsia="es-MX"/>
        </w:rPr>
      </w:pPr>
      <w:r w:rsidRPr="006C6364">
        <w:rPr>
          <w:rFonts w:ascii="Arial" w:eastAsia="Times New Roman" w:hAnsi="Arial" w:cs="Arial"/>
          <w:color w:val="000000"/>
          <w:sz w:val="24"/>
          <w:szCs w:val="24"/>
          <w:lang w:eastAsia="es-MX"/>
        </w:rPr>
        <w:br/>
      </w:r>
      <w:r w:rsidRPr="006C6364">
        <w:rPr>
          <w:rFonts w:ascii="Arial" w:eastAsia="Times New Roman" w:hAnsi="Arial" w:cs="Arial"/>
          <w:color w:val="000000"/>
          <w:sz w:val="24"/>
          <w:szCs w:val="24"/>
          <w:lang w:eastAsia="es-MX"/>
        </w:rPr>
        <w:br/>
      </w:r>
      <w:r w:rsidRPr="006C6364">
        <w:rPr>
          <w:rFonts w:ascii="Arial" w:eastAsia="Times New Roman" w:hAnsi="Arial" w:cs="Arial"/>
          <w:b/>
          <w:bCs/>
          <w:color w:val="000000"/>
          <w:sz w:val="24"/>
          <w:szCs w:val="24"/>
          <w:lang w:eastAsia="es-MX"/>
        </w:rPr>
        <w:t>Sexta Época:</w:t>
      </w:r>
    </w:p>
    <w:p w:rsidR="006C6364" w:rsidRPr="006C6364" w:rsidRDefault="006C6364" w:rsidP="006C6364">
      <w:pPr>
        <w:shd w:val="clear" w:color="auto" w:fill="FFFFFF"/>
        <w:spacing w:after="0" w:line="240" w:lineRule="auto"/>
        <w:jc w:val="both"/>
        <w:rPr>
          <w:rFonts w:ascii="Arial" w:eastAsia="Times New Roman" w:hAnsi="Arial" w:cs="Arial"/>
          <w:color w:val="000000"/>
          <w:sz w:val="24"/>
          <w:szCs w:val="24"/>
          <w:lang w:eastAsia="es-MX"/>
        </w:rPr>
      </w:pPr>
      <w:r w:rsidRPr="006C6364">
        <w:rPr>
          <w:rFonts w:ascii="Arial" w:eastAsia="Times New Roman" w:hAnsi="Arial" w:cs="Arial"/>
          <w:i/>
          <w:iCs/>
          <w:color w:val="000000"/>
          <w:sz w:val="24"/>
          <w:szCs w:val="24"/>
          <w:lang w:eastAsia="es-MX"/>
        </w:rPr>
        <w:br/>
      </w:r>
      <w:r w:rsidRPr="006C6364">
        <w:rPr>
          <w:rFonts w:ascii="Arial" w:eastAsia="Times New Roman" w:hAnsi="Arial" w:cs="Arial"/>
          <w:i/>
          <w:iCs/>
          <w:color w:val="000000"/>
          <w:sz w:val="24"/>
          <w:szCs w:val="24"/>
          <w:lang w:eastAsia="es-MX"/>
        </w:rPr>
        <w:br/>
        <w:t>Recurso de reconsideración. </w:t>
      </w:r>
      <w:hyperlink r:id="rId11" w:tgtFrame="_blank" w:history="1">
        <w:r w:rsidRPr="006C6364">
          <w:rPr>
            <w:rFonts w:ascii="Arial" w:eastAsia="Times New Roman" w:hAnsi="Arial" w:cs="Arial"/>
            <w:i/>
            <w:iCs/>
            <w:color w:val="006633"/>
            <w:sz w:val="24"/>
            <w:szCs w:val="24"/>
            <w:u w:val="single"/>
            <w:lang w:eastAsia="es-MX"/>
          </w:rPr>
          <w:t>SUP-REC-1279/2017</w:t>
        </w:r>
      </w:hyperlink>
      <w:r w:rsidRPr="006C6364">
        <w:rPr>
          <w:rFonts w:ascii="Arial" w:eastAsia="Times New Roman" w:hAnsi="Arial" w:cs="Arial"/>
          <w:i/>
          <w:iCs/>
          <w:color w:val="000000"/>
          <w:sz w:val="24"/>
          <w:szCs w:val="24"/>
          <w:lang w:eastAsia="es-MX"/>
        </w:rPr>
        <w:t xml:space="preserve">.—Recurrentes: </w:t>
      </w:r>
      <w:proofErr w:type="spellStart"/>
      <w:r w:rsidRPr="006C6364">
        <w:rPr>
          <w:rFonts w:ascii="Arial" w:eastAsia="Times New Roman" w:hAnsi="Arial" w:cs="Arial"/>
          <w:i/>
          <w:iCs/>
          <w:color w:val="000000"/>
          <w:sz w:val="24"/>
          <w:szCs w:val="24"/>
          <w:lang w:eastAsia="es-MX"/>
        </w:rPr>
        <w:t>Uziel</w:t>
      </w:r>
      <w:proofErr w:type="spellEnd"/>
      <w:r w:rsidRPr="006C6364">
        <w:rPr>
          <w:rFonts w:ascii="Arial" w:eastAsia="Times New Roman" w:hAnsi="Arial" w:cs="Arial"/>
          <w:i/>
          <w:iCs/>
          <w:color w:val="000000"/>
          <w:sz w:val="24"/>
          <w:szCs w:val="24"/>
          <w:lang w:eastAsia="es-MX"/>
        </w:rPr>
        <w:t xml:space="preserve"> Isaí Dávila Pérez.—Autoridad responsable: Sala Regional del Tribunal Electoral del Poder Judicial de la </w:t>
      </w:r>
      <w:r w:rsidRPr="006C6364">
        <w:rPr>
          <w:rFonts w:ascii="Arial" w:eastAsia="Times New Roman" w:hAnsi="Arial" w:cs="Arial"/>
          <w:i/>
          <w:iCs/>
          <w:color w:val="000000"/>
          <w:sz w:val="24"/>
          <w:szCs w:val="24"/>
          <w:lang w:eastAsia="es-MX"/>
        </w:rPr>
        <w:lastRenderedPageBreak/>
        <w:t>Federación, correspondiente a la Segunda Circunscripción Plurinominal, con sede en Monterrey, Nuevo León.—18 de octubre de 2017.—Unanimidad de votos.—Ponente: Reyes Rodríguez Mondragón.—Secretarios: Mauricio I. Del Toro Huerta y Augusto Arturo Colín Aguado. </w:t>
      </w:r>
      <w:r w:rsidRPr="006C6364">
        <w:rPr>
          <w:rFonts w:ascii="Arial" w:eastAsia="Times New Roman" w:hAnsi="Arial" w:cs="Arial"/>
          <w:i/>
          <w:iCs/>
          <w:color w:val="000000"/>
          <w:sz w:val="24"/>
          <w:szCs w:val="24"/>
          <w:lang w:eastAsia="es-MX"/>
        </w:rPr>
        <w:br/>
      </w:r>
    </w:p>
    <w:p w:rsidR="006C6364" w:rsidRPr="006C6364" w:rsidRDefault="006C6364" w:rsidP="006C6364">
      <w:pPr>
        <w:shd w:val="clear" w:color="auto" w:fill="FFFFFF"/>
        <w:spacing w:after="0" w:line="240" w:lineRule="auto"/>
        <w:jc w:val="both"/>
        <w:rPr>
          <w:rFonts w:ascii="Arial" w:eastAsia="Times New Roman" w:hAnsi="Arial" w:cs="Arial"/>
          <w:color w:val="000000"/>
          <w:sz w:val="24"/>
          <w:szCs w:val="24"/>
          <w:lang w:eastAsia="es-MX"/>
        </w:rPr>
      </w:pPr>
      <w:r w:rsidRPr="006C6364">
        <w:rPr>
          <w:rFonts w:ascii="Arial" w:eastAsia="Times New Roman" w:hAnsi="Arial" w:cs="Arial"/>
          <w:i/>
          <w:iCs/>
          <w:color w:val="000000"/>
          <w:sz w:val="24"/>
          <w:szCs w:val="24"/>
          <w:lang w:eastAsia="es-MX"/>
        </w:rPr>
        <w:br/>
      </w:r>
      <w:r w:rsidRPr="006C6364">
        <w:rPr>
          <w:rFonts w:ascii="Arial" w:eastAsia="Times New Roman" w:hAnsi="Arial" w:cs="Arial"/>
          <w:i/>
          <w:iCs/>
          <w:color w:val="000000"/>
          <w:sz w:val="24"/>
          <w:szCs w:val="24"/>
          <w:lang w:eastAsia="es-MX"/>
        </w:rPr>
        <w:br/>
        <w:t>Recurso de reconsideración. </w:t>
      </w:r>
      <w:hyperlink r:id="rId12" w:tgtFrame="_blank" w:history="1">
        <w:r w:rsidRPr="006C6364">
          <w:rPr>
            <w:rFonts w:ascii="Arial" w:eastAsia="Times New Roman" w:hAnsi="Arial" w:cs="Arial"/>
            <w:i/>
            <w:iCs/>
            <w:color w:val="006633"/>
            <w:sz w:val="24"/>
            <w:szCs w:val="24"/>
            <w:u w:val="single"/>
            <w:lang w:eastAsia="es-MX"/>
          </w:rPr>
          <w:t>SUP-REC-7/2018</w:t>
        </w:r>
      </w:hyperlink>
      <w:proofErr w:type="gramStart"/>
      <w:r w:rsidRPr="006C6364">
        <w:rPr>
          <w:rFonts w:ascii="Arial" w:eastAsia="Times New Roman" w:hAnsi="Arial" w:cs="Arial"/>
          <w:i/>
          <w:iCs/>
          <w:color w:val="000000"/>
          <w:sz w:val="24"/>
          <w:szCs w:val="24"/>
          <w:lang w:eastAsia="es-MX"/>
        </w:rPr>
        <w:t>.—</w:t>
      </w:r>
      <w:proofErr w:type="gramEnd"/>
      <w:r w:rsidRPr="006C6364">
        <w:rPr>
          <w:rFonts w:ascii="Arial" w:eastAsia="Times New Roman" w:hAnsi="Arial" w:cs="Arial"/>
          <w:i/>
          <w:iCs/>
          <w:color w:val="000000"/>
          <w:sz w:val="24"/>
          <w:szCs w:val="24"/>
          <w:lang w:eastAsia="es-MX"/>
        </w:rPr>
        <w:t xml:space="preserve">Recurrentes: Eva Avilés Álvarez y otras.—Autoridad responsable: Sala Regional del Tribunal Electoral del Poder Judicial de la Federación, correspondiente a la Primera Circunscripción Plurinominal, con sede en Guadalajara, Jalisco.—31 de enero de 2018.—Unanimidad de votos.—Ponente: </w:t>
      </w:r>
      <w:proofErr w:type="spellStart"/>
      <w:r w:rsidRPr="006C6364">
        <w:rPr>
          <w:rFonts w:ascii="Arial" w:eastAsia="Times New Roman" w:hAnsi="Arial" w:cs="Arial"/>
          <w:i/>
          <w:iCs/>
          <w:color w:val="000000"/>
          <w:sz w:val="24"/>
          <w:szCs w:val="24"/>
          <w:lang w:eastAsia="es-MX"/>
        </w:rPr>
        <w:t>Indalfer</w:t>
      </w:r>
      <w:proofErr w:type="spellEnd"/>
      <w:r w:rsidRPr="006C6364">
        <w:rPr>
          <w:rFonts w:ascii="Arial" w:eastAsia="Times New Roman" w:hAnsi="Arial" w:cs="Arial"/>
          <w:i/>
          <w:iCs/>
          <w:color w:val="000000"/>
          <w:sz w:val="24"/>
          <w:szCs w:val="24"/>
          <w:lang w:eastAsia="es-MX"/>
        </w:rPr>
        <w:t xml:space="preserve"> Infante Gonzales.—Secretarios: Anabel Gordillo Argüello y Rodrigo Escobar Garduño. </w:t>
      </w:r>
      <w:r w:rsidRPr="006C6364">
        <w:rPr>
          <w:rFonts w:ascii="Arial" w:eastAsia="Times New Roman" w:hAnsi="Arial" w:cs="Arial"/>
          <w:i/>
          <w:iCs/>
          <w:color w:val="000000"/>
          <w:sz w:val="24"/>
          <w:szCs w:val="24"/>
          <w:lang w:eastAsia="es-MX"/>
        </w:rPr>
        <w:br/>
      </w:r>
    </w:p>
    <w:p w:rsidR="006C6364" w:rsidRPr="006C6364" w:rsidRDefault="006C6364" w:rsidP="006C6364">
      <w:pPr>
        <w:shd w:val="clear" w:color="auto" w:fill="FFFFFF"/>
        <w:spacing w:after="0" w:line="240" w:lineRule="auto"/>
        <w:jc w:val="both"/>
        <w:rPr>
          <w:rFonts w:ascii="Arial" w:eastAsia="Times New Roman" w:hAnsi="Arial" w:cs="Arial"/>
          <w:color w:val="000000"/>
          <w:sz w:val="24"/>
          <w:szCs w:val="24"/>
          <w:lang w:eastAsia="es-MX"/>
        </w:rPr>
      </w:pPr>
      <w:r w:rsidRPr="006C6364">
        <w:rPr>
          <w:rFonts w:ascii="Arial" w:eastAsia="Times New Roman" w:hAnsi="Arial" w:cs="Arial"/>
          <w:i/>
          <w:iCs/>
          <w:color w:val="000000"/>
          <w:sz w:val="24"/>
          <w:szCs w:val="24"/>
          <w:lang w:eastAsia="es-MX"/>
        </w:rPr>
        <w:br/>
      </w:r>
      <w:r w:rsidRPr="006C6364">
        <w:rPr>
          <w:rFonts w:ascii="Arial" w:eastAsia="Times New Roman" w:hAnsi="Arial" w:cs="Arial"/>
          <w:i/>
          <w:iCs/>
          <w:color w:val="000000"/>
          <w:sz w:val="24"/>
          <w:szCs w:val="24"/>
          <w:lang w:eastAsia="es-MX"/>
        </w:rPr>
        <w:br/>
        <w:t>Juicio de revisión constitucional electoral. </w:t>
      </w:r>
      <w:hyperlink r:id="rId13" w:tgtFrame="_blank" w:history="1">
        <w:r w:rsidRPr="006C6364">
          <w:rPr>
            <w:rFonts w:ascii="Arial" w:eastAsia="Times New Roman" w:hAnsi="Arial" w:cs="Arial"/>
            <w:i/>
            <w:iCs/>
            <w:color w:val="006633"/>
            <w:sz w:val="24"/>
            <w:szCs w:val="24"/>
            <w:u w:val="single"/>
            <w:lang w:eastAsia="es-MX"/>
          </w:rPr>
          <w:t>SUP-JRC-4/2018</w:t>
        </w:r>
      </w:hyperlink>
      <w:r w:rsidRPr="006C6364">
        <w:rPr>
          <w:rFonts w:ascii="Arial" w:eastAsia="Times New Roman" w:hAnsi="Arial" w:cs="Arial"/>
          <w:i/>
          <w:iCs/>
          <w:color w:val="000000"/>
          <w:sz w:val="24"/>
          <w:szCs w:val="24"/>
          <w:lang w:eastAsia="es-MX"/>
        </w:rPr>
        <w:t> y acumulado</w:t>
      </w:r>
      <w:proofErr w:type="gramStart"/>
      <w:r w:rsidRPr="006C6364">
        <w:rPr>
          <w:rFonts w:ascii="Arial" w:eastAsia="Times New Roman" w:hAnsi="Arial" w:cs="Arial"/>
          <w:i/>
          <w:iCs/>
          <w:color w:val="000000"/>
          <w:sz w:val="24"/>
          <w:szCs w:val="24"/>
          <w:lang w:eastAsia="es-MX"/>
        </w:rPr>
        <w:t>.—</w:t>
      </w:r>
      <w:proofErr w:type="gramEnd"/>
      <w:r w:rsidRPr="006C6364">
        <w:rPr>
          <w:rFonts w:ascii="Arial" w:eastAsia="Times New Roman" w:hAnsi="Arial" w:cs="Arial"/>
          <w:i/>
          <w:iCs/>
          <w:color w:val="000000"/>
          <w:sz w:val="24"/>
          <w:szCs w:val="24"/>
          <w:lang w:eastAsia="es-MX"/>
        </w:rPr>
        <w:t xml:space="preserve">Actores: Partido de Renovación Sudcaliforniana y otro.—Autoridad responsable: Tribunal Estatal Electoral de Baja California Sur.—14 de febrero de 2018.—Unanimidad de votos.—Ponente: Felipe de la Mata </w:t>
      </w:r>
      <w:proofErr w:type="spellStart"/>
      <w:r w:rsidRPr="006C6364">
        <w:rPr>
          <w:rFonts w:ascii="Arial" w:eastAsia="Times New Roman" w:hAnsi="Arial" w:cs="Arial"/>
          <w:i/>
          <w:iCs/>
          <w:color w:val="000000"/>
          <w:sz w:val="24"/>
          <w:szCs w:val="24"/>
          <w:lang w:eastAsia="es-MX"/>
        </w:rPr>
        <w:t>Pizaña</w:t>
      </w:r>
      <w:proofErr w:type="spellEnd"/>
      <w:r w:rsidRPr="006C6364">
        <w:rPr>
          <w:rFonts w:ascii="Arial" w:eastAsia="Times New Roman" w:hAnsi="Arial" w:cs="Arial"/>
          <w:i/>
          <w:iCs/>
          <w:color w:val="000000"/>
          <w:sz w:val="24"/>
          <w:szCs w:val="24"/>
          <w:lang w:eastAsia="es-MX"/>
        </w:rPr>
        <w:t>.—Secretarios: Laura Márquez Martínez, Mercedes de María Jiménez Martínez, María del Carmen Ramírez Díaz, Carlos Gustavo Cruz Miranda y Fernando Ramírez Barrios. </w:t>
      </w:r>
      <w:r w:rsidRPr="006C6364">
        <w:rPr>
          <w:rFonts w:ascii="Arial" w:eastAsia="Times New Roman" w:hAnsi="Arial" w:cs="Arial"/>
          <w:i/>
          <w:iCs/>
          <w:color w:val="000000"/>
          <w:sz w:val="24"/>
          <w:szCs w:val="24"/>
          <w:lang w:eastAsia="es-MX"/>
        </w:rPr>
        <w:br/>
      </w:r>
    </w:p>
    <w:p w:rsidR="006C6364" w:rsidRPr="006C6364" w:rsidRDefault="006C6364" w:rsidP="006C6364">
      <w:pPr>
        <w:shd w:val="clear" w:color="auto" w:fill="FFFFFF"/>
        <w:spacing w:after="0" w:line="240" w:lineRule="auto"/>
        <w:jc w:val="both"/>
        <w:rPr>
          <w:rFonts w:ascii="Arial" w:eastAsia="Times New Roman" w:hAnsi="Arial" w:cs="Arial"/>
          <w:color w:val="000000"/>
          <w:sz w:val="24"/>
          <w:szCs w:val="24"/>
          <w:lang w:eastAsia="es-MX"/>
        </w:rPr>
      </w:pPr>
      <w:r w:rsidRPr="006C6364">
        <w:rPr>
          <w:rFonts w:ascii="Arial" w:eastAsia="Times New Roman" w:hAnsi="Arial" w:cs="Arial"/>
          <w:color w:val="000000"/>
          <w:sz w:val="24"/>
          <w:szCs w:val="24"/>
          <w:lang w:eastAsia="es-MX"/>
        </w:rPr>
        <w:br/>
      </w:r>
      <w:r w:rsidRPr="006C6364">
        <w:rPr>
          <w:rFonts w:ascii="Arial" w:eastAsia="Times New Roman" w:hAnsi="Arial" w:cs="Arial"/>
          <w:color w:val="000000"/>
          <w:sz w:val="24"/>
          <w:szCs w:val="24"/>
          <w:lang w:eastAsia="es-MX"/>
        </w:rPr>
        <w:br/>
      </w:r>
      <w:r w:rsidRPr="006C6364">
        <w:rPr>
          <w:rFonts w:ascii="Arial" w:eastAsia="Times New Roman" w:hAnsi="Arial" w:cs="Arial"/>
          <w:b/>
          <w:bCs/>
          <w:color w:val="000000"/>
          <w:sz w:val="24"/>
          <w:szCs w:val="24"/>
          <w:lang w:eastAsia="es-MX"/>
        </w:rPr>
        <w:t>La Sala Superior en sesión pública celebrada el veinticinco de abril de dos mil dieciocho, aprobó por unanimidad de votos la jurisprudencia que antecede y la declaró formalmente obligatoria.</w:t>
      </w:r>
      <w:r w:rsidRPr="006C6364">
        <w:rPr>
          <w:rFonts w:ascii="Arial" w:eastAsia="Times New Roman" w:hAnsi="Arial" w:cs="Arial"/>
          <w:color w:val="000000"/>
          <w:sz w:val="24"/>
          <w:szCs w:val="24"/>
          <w:lang w:eastAsia="es-MX"/>
        </w:rPr>
        <w:br/>
      </w:r>
      <w:r w:rsidRPr="006C6364">
        <w:rPr>
          <w:rFonts w:ascii="Arial" w:eastAsia="Times New Roman" w:hAnsi="Arial" w:cs="Arial"/>
          <w:color w:val="000000"/>
          <w:sz w:val="24"/>
          <w:szCs w:val="24"/>
          <w:lang w:eastAsia="es-MX"/>
        </w:rPr>
        <w:br/>
      </w:r>
      <w:r w:rsidRPr="006C6364">
        <w:rPr>
          <w:rFonts w:ascii="Arial" w:eastAsia="Times New Roman" w:hAnsi="Arial" w:cs="Arial"/>
          <w:color w:val="000000"/>
          <w:sz w:val="24"/>
          <w:szCs w:val="24"/>
          <w:lang w:eastAsia="es-MX"/>
        </w:rPr>
        <w:br/>
      </w:r>
      <w:r w:rsidRPr="006C6364">
        <w:rPr>
          <w:rFonts w:ascii="Arial" w:eastAsia="Times New Roman" w:hAnsi="Arial" w:cs="Arial"/>
          <w:b/>
          <w:bCs/>
          <w:color w:val="000000"/>
          <w:sz w:val="24"/>
          <w:szCs w:val="24"/>
          <w:lang w:eastAsia="es-MX"/>
        </w:rPr>
        <w:t>Pendiente de publicación en la Gaceta de Jurisprudencia y Tesis en materia electoral, Tribunal Electoral del Poder Judicial de la Federación.</w:t>
      </w:r>
      <w:r w:rsidRPr="006C6364">
        <w:rPr>
          <w:rFonts w:ascii="Arial" w:eastAsia="Times New Roman" w:hAnsi="Arial" w:cs="Arial"/>
          <w:color w:val="000000"/>
          <w:sz w:val="24"/>
          <w:szCs w:val="24"/>
          <w:lang w:eastAsia="es-MX"/>
        </w:rPr>
        <w:br/>
      </w:r>
    </w:p>
    <w:p w:rsidR="007E53FE" w:rsidRDefault="00E563E7"/>
    <w:sectPr w:rsidR="007E53FE" w:rsidSect="00EE5CBE">
      <w:pgSz w:w="12240" w:h="15840" w:code="1"/>
      <w:pgMar w:top="1701" w:right="1134" w:bottom="1134" w:left="1134" w:header="1134" w:footer="107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364"/>
    <w:rsid w:val="0008394E"/>
    <w:rsid w:val="003703AE"/>
    <w:rsid w:val="005E56B4"/>
    <w:rsid w:val="006C6364"/>
    <w:rsid w:val="007B2AD6"/>
    <w:rsid w:val="00C661EB"/>
    <w:rsid w:val="00E20932"/>
    <w:rsid w:val="00E563E7"/>
    <w:rsid w:val="00EE5C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C4FD5D-E1EF-45AA-B7BC-5ACB9BA8F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C63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740495">
      <w:bodyDiv w:val="1"/>
      <w:marLeft w:val="0"/>
      <w:marRight w:val="0"/>
      <w:marTop w:val="0"/>
      <w:marBottom w:val="0"/>
      <w:divBdr>
        <w:top w:val="none" w:sz="0" w:space="0" w:color="auto"/>
        <w:left w:val="none" w:sz="0" w:space="0" w:color="auto"/>
        <w:bottom w:val="none" w:sz="0" w:space="0" w:color="auto"/>
        <w:right w:val="none" w:sz="0" w:space="0" w:color="auto"/>
      </w:divBdr>
      <w:divsChild>
        <w:div w:id="1423918569">
          <w:marLeft w:val="0"/>
          <w:marRight w:val="0"/>
          <w:marTop w:val="0"/>
          <w:marBottom w:val="0"/>
          <w:divBdr>
            <w:top w:val="none" w:sz="0" w:space="0" w:color="auto"/>
            <w:left w:val="none" w:sz="0" w:space="0" w:color="auto"/>
            <w:bottom w:val="none" w:sz="0" w:space="0" w:color="auto"/>
            <w:right w:val="none" w:sz="0" w:space="0" w:color="auto"/>
          </w:divBdr>
        </w:div>
        <w:div w:id="709384048">
          <w:marLeft w:val="0"/>
          <w:marRight w:val="0"/>
          <w:marTop w:val="0"/>
          <w:marBottom w:val="0"/>
          <w:divBdr>
            <w:top w:val="none" w:sz="0" w:space="0" w:color="auto"/>
            <w:left w:val="none" w:sz="0" w:space="0" w:color="auto"/>
            <w:bottom w:val="none" w:sz="0" w:space="0" w:color="auto"/>
            <w:right w:val="none" w:sz="0" w:space="0" w:color="auto"/>
          </w:divBdr>
        </w:div>
        <w:div w:id="253898859">
          <w:marLeft w:val="0"/>
          <w:marRight w:val="0"/>
          <w:marTop w:val="0"/>
          <w:marBottom w:val="0"/>
          <w:divBdr>
            <w:top w:val="none" w:sz="0" w:space="0" w:color="auto"/>
            <w:left w:val="none" w:sz="0" w:space="0" w:color="auto"/>
            <w:bottom w:val="none" w:sz="0" w:space="0" w:color="auto"/>
            <w:right w:val="none" w:sz="0" w:space="0" w:color="auto"/>
          </w:divBdr>
        </w:div>
        <w:div w:id="356665920">
          <w:marLeft w:val="0"/>
          <w:marRight w:val="0"/>
          <w:marTop w:val="0"/>
          <w:marBottom w:val="0"/>
          <w:divBdr>
            <w:top w:val="none" w:sz="0" w:space="0" w:color="auto"/>
            <w:left w:val="none" w:sz="0" w:space="0" w:color="auto"/>
            <w:bottom w:val="none" w:sz="0" w:space="0" w:color="auto"/>
            <w:right w:val="none" w:sz="0" w:space="0" w:color="auto"/>
          </w:divBdr>
        </w:div>
        <w:div w:id="371349414">
          <w:marLeft w:val="0"/>
          <w:marRight w:val="0"/>
          <w:marTop w:val="0"/>
          <w:marBottom w:val="0"/>
          <w:divBdr>
            <w:top w:val="none" w:sz="0" w:space="0" w:color="auto"/>
            <w:left w:val="none" w:sz="0" w:space="0" w:color="auto"/>
            <w:bottom w:val="none" w:sz="0" w:space="0" w:color="auto"/>
            <w:right w:val="none" w:sz="0" w:space="0" w:color="auto"/>
          </w:divBdr>
        </w:div>
        <w:div w:id="230502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f.te.gob.mx/iuse/tesisjur.aspx?idtesis=11/2018&amp;tpoBusqueda=S&amp;sWord=" TargetMode="External"/><Relationship Id="rId13" Type="http://schemas.openxmlformats.org/officeDocument/2006/relationships/hyperlink" Target="http://portal.te.gob.mx/colecciones/sentencias/html/SUP/2018/JRC/SUP-JRC-00004-2018-Resumen.htm" TargetMode="External"/><Relationship Id="rId3" Type="http://schemas.openxmlformats.org/officeDocument/2006/relationships/webSettings" Target="webSettings.xml"/><Relationship Id="rId7" Type="http://schemas.openxmlformats.org/officeDocument/2006/relationships/hyperlink" Target="http://sief.te.gob.mx/iuse/tesisjur.aspx?idtesis=11/2018&amp;tpoBusqueda=S&amp;sWord=" TargetMode="External"/><Relationship Id="rId12" Type="http://schemas.openxmlformats.org/officeDocument/2006/relationships/hyperlink" Target="http://portal.te.gob.mx/colecciones/sentencias/html/SUP/2018/REC/SUP-REC-00007-2018.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ef.te.gob.mx/iuse/tesisjur.aspx?idtesis=11/2018&amp;tpoBusqueda=S&amp;sWord=" TargetMode="External"/><Relationship Id="rId11" Type="http://schemas.openxmlformats.org/officeDocument/2006/relationships/hyperlink" Target="http://portal.te.gob.mx/colecciones/sentencias/html/SUP/2017/REC/SUP-REC-01279-2017.htm" TargetMode="External"/><Relationship Id="rId5" Type="http://schemas.openxmlformats.org/officeDocument/2006/relationships/hyperlink" Target="http://sief.te.gob.mx/iuse/tesisjur.aspx?idtesis=11/2018&amp;tpoBusqueda=S&amp;sWord=" TargetMode="External"/><Relationship Id="rId15" Type="http://schemas.openxmlformats.org/officeDocument/2006/relationships/theme" Target="theme/theme1.xml"/><Relationship Id="rId10" Type="http://schemas.openxmlformats.org/officeDocument/2006/relationships/hyperlink" Target="http://sief.te.gob.mx/iuse/tesisjur.aspx?idtesis=11/2018&amp;tpoBusqueda=S&amp;sWord=" TargetMode="External"/><Relationship Id="rId4" Type="http://schemas.openxmlformats.org/officeDocument/2006/relationships/hyperlink" Target="http://portal.te.gob.mx/colecciones/sentencias/html/SUP/2018/JRC/SUP-JRC-00004-2018-Resumen.htm" TargetMode="External"/><Relationship Id="rId9" Type="http://schemas.openxmlformats.org/officeDocument/2006/relationships/hyperlink" Target="http://sief.te.gob.mx/iuse/tesisjur.aspx?idtesis=11/2018&amp;tpoBusqueda=S&amp;sWord="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842</Words>
  <Characters>4634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COESPE1</dc:creator>
  <cp:keywords/>
  <dc:description/>
  <cp:lastModifiedBy>COESPE1</cp:lastModifiedBy>
  <cp:revision>2</cp:revision>
  <dcterms:created xsi:type="dcterms:W3CDTF">2018-06-29T01:42:00Z</dcterms:created>
  <dcterms:modified xsi:type="dcterms:W3CDTF">2018-06-29T01:42:00Z</dcterms:modified>
</cp:coreProperties>
</file>